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МИЧУРИНСКИЙ СЕЛЬСОВЕТ  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>АКБУЛАКСКОГО РАЙОНА  ОРЕНБУРГСКОЙ ОБЛАСТИ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Е Н И Е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3A6C3C" w:rsidRPr="003A6C3C" w:rsidRDefault="00A466DA" w:rsidP="003A6C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>.11.20</w:t>
      </w:r>
      <w:r w:rsidR="004D38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7B5562">
        <w:rPr>
          <w:rFonts w:ascii="Times New Roman" w:eastAsia="Times New Roman" w:hAnsi="Times New Roman" w:cs="Times New Roman"/>
          <w:sz w:val="28"/>
          <w:szCs w:val="28"/>
        </w:rPr>
        <w:t>4</w:t>
      </w:r>
      <w:r w:rsidR="003A6C3C" w:rsidRPr="003A6C3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D362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3A6C3C" w:rsidRPr="003A6C3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B5562">
        <w:rPr>
          <w:rFonts w:ascii="Times New Roman" w:eastAsia="Times New Roman" w:hAnsi="Times New Roman" w:cs="Times New Roman"/>
          <w:sz w:val="28"/>
          <w:szCs w:val="28"/>
        </w:rPr>
        <w:t>60</w:t>
      </w:r>
      <w:r w:rsidR="00B22260">
        <w:rPr>
          <w:rFonts w:ascii="Times New Roman" w:eastAsia="Times New Roman" w:hAnsi="Times New Roman" w:cs="Times New Roman"/>
          <w:sz w:val="28"/>
          <w:szCs w:val="28"/>
        </w:rPr>
        <w:t>-</w:t>
      </w:r>
      <w:r w:rsidR="003A6C3C" w:rsidRPr="003A6C3C">
        <w:rPr>
          <w:rFonts w:ascii="Times New Roman" w:eastAsia="Times New Roman" w:hAnsi="Times New Roman" w:cs="Times New Roman"/>
          <w:sz w:val="28"/>
          <w:szCs w:val="28"/>
        </w:rPr>
        <w:t>п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>. Покровка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Default="00DD5D38" w:rsidP="00DD5D38">
      <w:pPr>
        <w:pStyle w:val="ConsPlusNormal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Об одобрении основных направлений бюджетной и налоговой политики муниципального образования Мичуринский сельсовет на 202</w:t>
      </w:r>
      <w:r w:rsidR="007B5562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7B5562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7B5562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и основных направлений долговой политики муниципального образования Мичуринский сельсовет на 202</w:t>
      </w:r>
      <w:r w:rsidR="007B5562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7B5562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7B5562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</w:t>
      </w:r>
    </w:p>
    <w:p w:rsidR="00DD5D38" w:rsidRDefault="00DD5D38" w:rsidP="00DD5D38">
      <w:pPr>
        <w:pStyle w:val="ConsPlusNormal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D5D38" w:rsidRDefault="00DD5D38" w:rsidP="00DD5D38">
      <w:pPr>
        <w:pStyle w:val="ConsPlusNormal0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целях подготовки проекта местного бюджета на 202</w:t>
      </w:r>
      <w:r w:rsidR="007B5562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7B5562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7B5562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администрация муниципального образования муниципального образования Мичуринский сельсовет </w:t>
      </w:r>
      <w:r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DD5D38" w:rsidRDefault="00DD5D38" w:rsidP="00DD5D38">
      <w:pPr>
        <w:pStyle w:val="ConsPlusNormal0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 Одобрить:</w:t>
      </w:r>
    </w:p>
    <w:p w:rsidR="00DD5D38" w:rsidRDefault="00DD5D38" w:rsidP="00DD5D38">
      <w:pPr>
        <w:pStyle w:val="ConsPlusNormal0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1.1. Основные направления бюджетной и налоговой политики муниципального образова</w:t>
      </w:r>
      <w:r w:rsidR="007B5562">
        <w:rPr>
          <w:rFonts w:ascii="Times New Roman" w:eastAsia="Times New Roman" w:hAnsi="Times New Roman" w:cs="Times New Roman"/>
          <w:bCs/>
          <w:sz w:val="28"/>
          <w:szCs w:val="28"/>
        </w:rPr>
        <w:t>ния Мичуринский сельсовет на 2025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7B5562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7B5562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согласно приложению № 1.</w:t>
      </w:r>
    </w:p>
    <w:p w:rsidR="00DD5D38" w:rsidRDefault="00DD5D38" w:rsidP="00DD5D38">
      <w:pPr>
        <w:pStyle w:val="ConsPlusNormal0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1.2. Основные направления долговой политики муниципального образования Мичуринский сельсовет на 202</w:t>
      </w:r>
      <w:r w:rsidR="007B5562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7B5562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7B5562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согласно приложению № 2.</w:t>
      </w:r>
    </w:p>
    <w:p w:rsidR="00DD5D38" w:rsidRDefault="00DD5D38" w:rsidP="00DD5D38">
      <w:pPr>
        <w:pStyle w:val="ConsPlusNormal0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DD5D38" w:rsidRDefault="00DD5D38" w:rsidP="00DD5D38">
      <w:pPr>
        <w:pStyle w:val="ConsPlusNormal0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Постановление вступает в силу со дня его подписания.</w:t>
      </w:r>
    </w:p>
    <w:p w:rsidR="00A54B87" w:rsidRPr="003A6C3C" w:rsidRDefault="00B21709" w:rsidP="00A54B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8.45pt;margin-top:4.45pt;width:151pt;height:144.35pt;z-index:251660288;mso-width-relative:margin;mso-height-relative:margin" strokecolor="white [3212]">
            <v:textbox>
              <w:txbxContent>
                <w:p w:rsidR="008262F5" w:rsidRDefault="008262F5">
                  <w:r>
                    <w:rPr>
                      <w:noProof/>
                    </w:rPr>
                    <w:drawing>
                      <wp:inline distT="0" distB="0" distL="0" distR="0">
                        <wp:extent cx="1666875" cy="1543050"/>
                        <wp:effectExtent l="19050" t="0" r="9525" b="0"/>
                        <wp:docPr id="35" name="Рисунок 35" descr="C:\Users\1\Pictures\2019-12-27 1\65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C:\Users\1\Pictures\2019-12-27 1\65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6875" cy="154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72565" w:rsidRDefault="00C72565" w:rsidP="003A6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Default="003A6C3C" w:rsidP="00C72565">
      <w:pPr>
        <w:spacing w:after="0" w:line="240" w:lineRule="auto"/>
        <w:jc w:val="both"/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      В.И. </w:t>
      </w:r>
      <w:proofErr w:type="spellStart"/>
      <w:r w:rsidRPr="003A6C3C">
        <w:rPr>
          <w:rFonts w:ascii="Times New Roman" w:eastAsia="Times New Roman" w:hAnsi="Times New Roman" w:cs="Times New Roman"/>
          <w:sz w:val="28"/>
          <w:szCs w:val="28"/>
        </w:rPr>
        <w:t>Дуденко</w:t>
      </w:r>
      <w:proofErr w:type="spellEnd"/>
    </w:p>
    <w:p w:rsidR="00DD5D38" w:rsidRPr="00DD5D38" w:rsidRDefault="00DD5D38" w:rsidP="00DD5D38"/>
    <w:p w:rsidR="00DD5D38" w:rsidRPr="00DD5D38" w:rsidRDefault="00DD5D38" w:rsidP="00DD5D38"/>
    <w:p w:rsidR="00DD5D38" w:rsidRPr="00DD5D38" w:rsidRDefault="00DD5D38" w:rsidP="00DD5D38"/>
    <w:p w:rsidR="00DD5D38" w:rsidRPr="00DD5D38" w:rsidRDefault="00DD5D38" w:rsidP="00DD5D38"/>
    <w:p w:rsidR="00DD5D38" w:rsidRPr="00DD5D38" w:rsidRDefault="00DD5D38" w:rsidP="00DD5D38"/>
    <w:p w:rsidR="00346628" w:rsidRPr="00346628" w:rsidRDefault="00346628" w:rsidP="00346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6628">
        <w:rPr>
          <w:rFonts w:ascii="Times New Roman" w:eastAsia="Times New Roman" w:hAnsi="Times New Roman" w:cs="Times New Roman"/>
          <w:sz w:val="24"/>
          <w:szCs w:val="24"/>
        </w:rPr>
        <w:t>Разослано: финансовый отдел, МКУ «Центр</w:t>
      </w:r>
      <w:r w:rsidRPr="00346628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учета</w:t>
      </w:r>
      <w:r w:rsidRPr="00346628">
        <w:rPr>
          <w:rFonts w:ascii="Times New Roman" w:eastAsia="Times New Roman" w:hAnsi="Times New Roman" w:cs="Times New Roman"/>
          <w:sz w:val="24"/>
          <w:szCs w:val="24"/>
        </w:rPr>
        <w:t xml:space="preserve"> и отчетности», Контрольно-счетную палату </w:t>
      </w:r>
      <w:proofErr w:type="spellStart"/>
      <w:r w:rsidRPr="00346628">
        <w:rPr>
          <w:rFonts w:ascii="Times New Roman" w:eastAsia="Times New Roman" w:hAnsi="Times New Roman" w:cs="Times New Roman"/>
          <w:sz w:val="24"/>
          <w:szCs w:val="24"/>
        </w:rPr>
        <w:t>Акбулакского</w:t>
      </w:r>
      <w:proofErr w:type="spellEnd"/>
      <w:r w:rsidRPr="00346628">
        <w:rPr>
          <w:rFonts w:ascii="Times New Roman" w:eastAsia="Times New Roman" w:hAnsi="Times New Roman" w:cs="Times New Roman"/>
          <w:sz w:val="24"/>
          <w:szCs w:val="24"/>
        </w:rPr>
        <w:t xml:space="preserve"> района, прокуратуру района,  в дело.</w:t>
      </w:r>
    </w:p>
    <w:p w:rsidR="00DD5D38" w:rsidRPr="00DD5D38" w:rsidRDefault="00DD5D38" w:rsidP="00DD5D38"/>
    <w:p w:rsidR="00FA7413" w:rsidRDefault="00DD5D38" w:rsidP="00DD5D38">
      <w:pPr>
        <w:tabs>
          <w:tab w:val="left" w:pos="7065"/>
        </w:tabs>
      </w:pPr>
      <w:r>
        <w:tab/>
      </w:r>
    </w:p>
    <w:p w:rsidR="00DD5D38" w:rsidRPr="00DD5D38" w:rsidRDefault="00DD5D38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5D3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№ 1 </w:t>
      </w:r>
    </w:p>
    <w:p w:rsidR="00DD5D38" w:rsidRPr="00DD5D38" w:rsidRDefault="00DD5D38" w:rsidP="00DD5D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DD5D38" w:rsidRPr="00DD5D38" w:rsidRDefault="00DD5D38" w:rsidP="00DD5D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DD5D38" w:rsidRPr="00DD5D38" w:rsidRDefault="00DD5D38" w:rsidP="00DD5D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от 0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7B5562">
        <w:rPr>
          <w:rFonts w:ascii="Times New Roman" w:eastAsia="Times New Roman" w:hAnsi="Times New Roman" w:cs="Times New Roman"/>
          <w:sz w:val="28"/>
          <w:szCs w:val="28"/>
        </w:rPr>
        <w:t>.11.2024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7B5562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DD5D38" w:rsidRPr="00DD5D38" w:rsidRDefault="00DD5D38" w:rsidP="00DD5D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spacing w:after="0" w:line="22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Основные направления </w:t>
      </w:r>
    </w:p>
    <w:p w:rsidR="00DD5D38" w:rsidRPr="00DD5D38" w:rsidRDefault="00DD5D38" w:rsidP="00DD5D38">
      <w:pPr>
        <w:spacing w:after="0" w:line="22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bCs/>
          <w:sz w:val="28"/>
          <w:szCs w:val="28"/>
        </w:rPr>
        <w:t xml:space="preserve">бюджетной и налоговой политики муниципального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Мичуринский</w:t>
      </w:r>
      <w:r w:rsidR="007B556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 на 2025</w:t>
      </w:r>
      <w:r w:rsidRPr="00DD5D3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</w:t>
      </w:r>
    </w:p>
    <w:p w:rsidR="00DD5D38" w:rsidRPr="00DD5D38" w:rsidRDefault="007B5562" w:rsidP="00DD5D38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 плановый период 2026 и 2027</w:t>
      </w:r>
      <w:r w:rsidR="00DD5D38" w:rsidRPr="00DD5D3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</w:t>
      </w:r>
    </w:p>
    <w:p w:rsidR="00DD5D38" w:rsidRPr="00DD5D38" w:rsidRDefault="00DD5D38" w:rsidP="00DD5D38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направления бюджетной и налоговой политики </w:t>
      </w:r>
      <w:r w:rsidRPr="00DD5D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сельсовет </w:t>
      </w:r>
      <w:r w:rsidR="007B5562">
        <w:rPr>
          <w:rFonts w:ascii="Times New Roman" w:eastAsia="Times New Roman" w:hAnsi="Times New Roman" w:cs="Times New Roman"/>
          <w:color w:val="000000"/>
          <w:sz w:val="28"/>
          <w:szCs w:val="28"/>
        </w:rPr>
        <w:t>на 2025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на </w:t>
      </w:r>
      <w:r w:rsidR="007B556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плановый период 2026 и 2027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разработаны с учетом стратегических целей, сформулированных в посланиях Президента Российской Федерации Федеральному Собранию Российской Федерации, Указе Президента Российской Федерации от 21 апреля 2021 года и от 21 февраля 2023 года</w:t>
      </w:r>
      <w:r w:rsidR="007B5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 w:rsidR="007B5562" w:rsidRPr="007B5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7B5562" w:rsidRPr="007B5562">
        <w:rPr>
          <w:rFonts w:ascii="Times New Roman" w:hAnsi="Times New Roman" w:cs="Times New Roman"/>
          <w:sz w:val="28"/>
          <w:szCs w:val="28"/>
        </w:rPr>
        <w:t>29 февраля 2024 года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,   Указе Президента Российской Федерации</w:t>
      </w:r>
      <w:proofErr w:type="gram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7 мая 2018 года № 204 </w:t>
      </w:r>
      <w:r w:rsidR="007B5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«О национальных целях и стратегических задачах развития Российской Федерации на период до 2024 года» (далее - Указ Президента от 7 мая 2018 года), Указе Президента Российской Федерации от 21 июля 2020 года № 474 «О национальных целях развития Российской Федерации на период до 2030 года</w:t>
      </w:r>
      <w:r w:rsidR="007B5562">
        <w:rPr>
          <w:sz w:val="28"/>
          <w:szCs w:val="28"/>
        </w:rPr>
        <w:t xml:space="preserve"> и </w:t>
      </w:r>
      <w:r w:rsidR="007B5562" w:rsidRPr="007B5562">
        <w:rPr>
          <w:rFonts w:ascii="Times New Roman" w:hAnsi="Times New Roman" w:cs="Times New Roman"/>
          <w:sz w:val="28"/>
          <w:szCs w:val="28"/>
        </w:rPr>
        <w:t>на перспективу 2036 года</w:t>
      </w:r>
      <w:r w:rsidRPr="007B556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B5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Указ Президента от 7 мая</w:t>
      </w:r>
      <w:proofErr w:type="gramEnd"/>
      <w:r w:rsidR="007B5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B5562"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года), муниципальных программ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сельсовет </w:t>
      </w:r>
      <w:proofErr w:type="spell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Акбулакского</w:t>
      </w:r>
      <w:proofErr w:type="spell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(далее - муниципальные программы).</w:t>
      </w:r>
      <w:proofErr w:type="gram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Кроме того, при определении бюджетной и налоговой </w:t>
      </w:r>
      <w:proofErr w:type="gram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политики на</w:t>
      </w:r>
      <w:proofErr w:type="gram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ближайшую перспективу использованы сценарные условия социально-экономического развития </w:t>
      </w:r>
      <w:r w:rsidRPr="00DD5D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сельсовет </w:t>
      </w:r>
      <w:r w:rsidR="009C1CBF">
        <w:rPr>
          <w:rFonts w:ascii="Times New Roman" w:eastAsia="Times New Roman" w:hAnsi="Times New Roman" w:cs="Times New Roman"/>
          <w:color w:val="000000"/>
          <w:sz w:val="28"/>
          <w:szCs w:val="28"/>
        </w:rPr>
        <w:t>на 2025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плановый перио</w:t>
      </w:r>
      <w:r w:rsidR="009C1CBF">
        <w:rPr>
          <w:rFonts w:ascii="Times New Roman" w:eastAsia="Times New Roman" w:hAnsi="Times New Roman" w:cs="Times New Roman"/>
          <w:color w:val="000000"/>
          <w:sz w:val="28"/>
          <w:szCs w:val="28"/>
        </w:rPr>
        <w:t>д 2026 и 2027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годов. 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 реализации бюдже</w:t>
      </w:r>
      <w:r w:rsidR="009C1CBF">
        <w:rPr>
          <w:rFonts w:ascii="Times New Roman" w:eastAsia="Times New Roman" w:hAnsi="Times New Roman" w:cs="Times New Roman"/>
          <w:color w:val="000000"/>
          <w:sz w:val="28"/>
          <w:szCs w:val="28"/>
        </w:rPr>
        <w:t>тной и налоговой политики в 2023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</w:t>
      </w:r>
    </w:p>
    <w:p w:rsidR="00DD5D38" w:rsidRPr="00DD5D38" w:rsidRDefault="009C1CBF" w:rsidP="00DD5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первой половине 2024</w:t>
      </w:r>
      <w:r w:rsidR="00DD5D38"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Доходы местного бюджета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D5D38">
        <w:rPr>
          <w:rFonts w:ascii="Times New Roman" w:eastAsia="Calibri" w:hAnsi="Times New Roman" w:cs="Times New Roman"/>
          <w:sz w:val="28"/>
          <w:szCs w:val="28"/>
        </w:rPr>
        <w:t>Исполнение консолидированного бюджета по доходам в 202</w:t>
      </w:r>
      <w:r w:rsidR="009C1CBF">
        <w:rPr>
          <w:rFonts w:ascii="Times New Roman" w:eastAsia="Calibri" w:hAnsi="Times New Roman" w:cs="Times New Roman"/>
          <w:sz w:val="28"/>
          <w:szCs w:val="28"/>
        </w:rPr>
        <w:t>3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году осуществлялось с учетом положений, установленных постановлением администрации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сельсовет от </w:t>
      </w:r>
      <w:r>
        <w:rPr>
          <w:rFonts w:ascii="Times New Roman" w:eastAsia="Calibri" w:hAnsi="Times New Roman" w:cs="Times New Roman"/>
          <w:sz w:val="28"/>
          <w:szCs w:val="28"/>
        </w:rPr>
        <w:t>18.08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.2017 № </w:t>
      </w:r>
      <w:r>
        <w:rPr>
          <w:rFonts w:ascii="Times New Roman" w:eastAsia="Calibri" w:hAnsi="Times New Roman" w:cs="Times New Roman"/>
          <w:sz w:val="28"/>
          <w:szCs w:val="28"/>
        </w:rPr>
        <w:t>52</w:t>
      </w:r>
      <w:r w:rsidRPr="00DD5D38">
        <w:rPr>
          <w:rFonts w:ascii="Times New Roman" w:eastAsia="Calibri" w:hAnsi="Times New Roman" w:cs="Times New Roman"/>
          <w:sz w:val="28"/>
          <w:szCs w:val="28"/>
        </w:rPr>
        <w:t>-п «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утверждении плана мероприятий по консолидации бюджетных средств и оптимизации бюджетных расходов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Акбулакского</w:t>
      </w:r>
      <w:proofErr w:type="spell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Оренбургской области на 2017-2024 годы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» (с учетом изменений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06.04.2020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 w:rsidRPr="00DD5D38">
        <w:rPr>
          <w:rFonts w:ascii="Times New Roman" w:eastAsia="Calibri" w:hAnsi="Times New Roman" w:cs="Times New Roman"/>
          <w:sz w:val="28"/>
          <w:szCs w:val="28"/>
        </w:rPr>
        <w:t>), а также 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сельсовет «О</w:t>
      </w:r>
      <w:proofErr w:type="gramEnd"/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D5D38">
        <w:rPr>
          <w:rFonts w:ascii="Times New Roman" w:eastAsia="Calibri" w:hAnsi="Times New Roman" w:cs="Times New Roman"/>
          <w:sz w:val="28"/>
          <w:szCs w:val="28"/>
        </w:rPr>
        <w:t>мерах</w:t>
      </w:r>
      <w:proofErr w:type="gramEnd"/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по обеспечению исполнения бюджета </w:t>
      </w:r>
      <w:r w:rsidRPr="00DD5D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сельсовет </w:t>
      </w:r>
      <w:proofErr w:type="spellStart"/>
      <w:r w:rsidRPr="00DD5D38">
        <w:rPr>
          <w:rFonts w:ascii="Times New Roman" w:eastAsia="Calibri" w:hAnsi="Times New Roman" w:cs="Times New Roman"/>
          <w:sz w:val="28"/>
          <w:szCs w:val="28"/>
        </w:rPr>
        <w:t>Акбулакского</w:t>
      </w:r>
      <w:proofErr w:type="spellEnd"/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района Оренбургской области».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Основную часть доходов местного бюджета обеспечили поступления налога на доходы физических лиц. На его долю приходится 63,4 процента всех налоговых и неналоговых доходов местного бюджета.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Отмечается рост поступлений налога, взимаемый с налогоплательщиков, выбравших в качестве объекта налогообложения доходы в связи с увеличением налогооблагаемой базы.</w:t>
      </w:r>
    </w:p>
    <w:p w:rsidR="00DD5D38" w:rsidRPr="00DD5D38" w:rsidRDefault="00DD5D38" w:rsidP="00DD5D38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Акцизы по подакцизным товарам исполнены с превышением показате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softHyphen/>
        <w:t>лей, сложившихся по итогам исполнения за</w:t>
      </w:r>
      <w:r w:rsidR="005D4F83"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год. Рост поступлений связан с увеличением объема реализации подакцизной продукции.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На исполнение налоговых и неналоговых доходов бюджета </w:t>
      </w:r>
      <w:proofErr w:type="spellStart"/>
      <w:r w:rsidRPr="00DD5D38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района в отчетном году оказали влияние изменения федерального и регионального законодательства: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1) на федеральном уровне: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продлены сроки уплаты налогов в рамках обеспечения социально-экономической стабильности в условиях внешнего </w:t>
      </w:r>
      <w:proofErr w:type="spellStart"/>
      <w:r w:rsidRPr="00DD5D38">
        <w:rPr>
          <w:rFonts w:ascii="Times New Roman" w:eastAsia="Times New Roman" w:hAnsi="Times New Roman" w:cs="Times New Roman"/>
          <w:sz w:val="28"/>
          <w:szCs w:val="28"/>
        </w:rPr>
        <w:t>санкционного</w:t>
      </w:r>
      <w:proofErr w:type="spell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давления организациям и индивидуальным предпринимателям, осуществляющим отдельные виды экономической деятельности: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на 6 месяцев — сроки уплаты налога, уплачиваемого в связи с применением упрощенной системы налогообложения за 2021 год и авансового платежа по налогу за квартал 2022 года (постановление Правительства Российской Федерации от 30 марта 2022 года № 512 «Об изменении сроков уплаты налога (авансового платежа по налогу), уплачиваемого в связи с применением упрощенной системы налогообложения в 2022 году»);</w:t>
      </w:r>
      <w:proofErr w:type="gramEnd"/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на 12 месяцев — сроки уплаты страховых взносов за </w:t>
      </w:r>
      <w:r w:rsidRPr="00DD5D3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и кварталы 2022 года (постановление Правительства Российской Федерации от 29 апреля 2022 года № 776 «Об изменении сроков уплаты страховых взносов в 2022 году»); </w:t>
      </w:r>
    </w:p>
    <w:p w:rsidR="00DD5D38" w:rsidRPr="00DD5D38" w:rsidRDefault="00AE28FE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1 сентября 2023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плата за негативное воздействие на окружающую среду, административные штрафы за административные правонарушения в области охраны окружающей среды и природопользования и средства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носят целевой характер и</w:t>
      </w:r>
      <w:proofErr w:type="gramEnd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могут быть </w:t>
      </w:r>
      <w:proofErr w:type="gramStart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>направлены</w:t>
      </w:r>
      <w:proofErr w:type="gramEnd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только на выполнение природоохранных мероприятий;</w:t>
      </w:r>
    </w:p>
    <w:p w:rsidR="00DD5D38" w:rsidRPr="00DD5D38" w:rsidRDefault="00AE28FE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 1 января 2026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продлено действие нулевой налоговой ставки для впервые зарегистрированных индивидуальных предпринимателей при применении упрощенной системы налогообложения и патентной системы налогообложения и осуществляющих деятельность в производственной, социальной, научной сферах, сфере бытовых услуг населению и услуг по предоставлению мест для временного проживания.</w:t>
      </w:r>
      <w:proofErr w:type="gramEnd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Указанная мера действует 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lastRenderedPageBreak/>
        <w:t>в течение двух налоговых периодов с момента государственной регистрации в качестве индивидуального предпринимателя;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2) на региональном уровне: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E28FE">
        <w:rPr>
          <w:rFonts w:ascii="Times New Roman" w:eastAsia="Times New Roman" w:hAnsi="Times New Roman" w:cs="Times New Roman"/>
          <w:sz w:val="28"/>
          <w:szCs w:val="28"/>
        </w:rPr>
        <w:t xml:space="preserve">     освобождены с 1 января 2023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от уплаты транспортного налога налогоплательщики в отношении транспортных средств, оснащенных исключительно электрическими двигателями, и транспортных средств, использующих компримированный природный газ в качестве моторного топлива;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в соответствии с Планом первоочередных мероприятий (действий) по обеспечению устойчивого развития Оренбургской области в условиях внешнего </w:t>
      </w:r>
      <w:proofErr w:type="spellStart"/>
      <w:r w:rsidRPr="00DD5D38">
        <w:rPr>
          <w:rFonts w:ascii="Times New Roman" w:eastAsia="Times New Roman" w:hAnsi="Times New Roman" w:cs="Times New Roman"/>
          <w:sz w:val="28"/>
          <w:szCs w:val="28"/>
        </w:rPr>
        <w:t>санкционного</w:t>
      </w:r>
      <w:proofErr w:type="spell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давления, утвержденным Губернатором Оренбургской области 12 апреля 2022 года: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 1 января 2022 года в целях поддержки организаций и индивидуальных предпринимателей, осуществляющих предпринимательскую деятельность в сфере информационных технологий, производства компьютеров, электронных и оптических изделий, а также производства одежды, обуви, лекарственных средств и материалов, применяемых в медицинских целях, снижены налоговые ставки по упрощенной системе налогообложения до 1 процента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5750" cy="85725"/>
            <wp:effectExtent l="19050" t="0" r="0" b="0"/>
            <wp:docPr id="21" name="Picture 60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8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случае, если объектом налогообложения являются доходы, и до 5 процентов — в случае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, если объектом налогообложения являются доходы, уменьшенные на величину расходов;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установлен мораторий на повышение ставок по налогу на имущество организаций и тр</w:t>
      </w:r>
      <w:r w:rsidR="005D4F83">
        <w:rPr>
          <w:rFonts w:ascii="Times New Roman" w:eastAsia="Times New Roman" w:hAnsi="Times New Roman" w:cs="Times New Roman"/>
          <w:sz w:val="28"/>
          <w:szCs w:val="28"/>
        </w:rPr>
        <w:t>анспортному налогу до конца 2</w:t>
      </w:r>
      <w:r w:rsidR="00AE28FE">
        <w:rPr>
          <w:rFonts w:ascii="Times New Roman" w:eastAsia="Times New Roman" w:hAnsi="Times New Roman" w:cs="Times New Roman"/>
          <w:sz w:val="28"/>
          <w:szCs w:val="28"/>
        </w:rPr>
        <w:t>025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года, а также предусмотрено сохранение налоговой льготы по налогу на имущество организаций сельскохозяйственных товаропроизводителей, осуществляющих деятельность в животноводстве;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предоставлена отсрочка по уплате арендных платежей за</w:t>
      </w:r>
      <w:r w:rsidR="005D4F8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D5D3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AE28FE">
        <w:rPr>
          <w:rFonts w:ascii="Times New Roman" w:eastAsia="Times New Roman" w:hAnsi="Times New Roman" w:cs="Times New Roman"/>
          <w:sz w:val="28"/>
          <w:szCs w:val="28"/>
        </w:rPr>
        <w:t>арталы 2023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со </w:t>
      </w:r>
      <w:r w:rsidR="00AE28FE">
        <w:rPr>
          <w:rFonts w:ascii="Times New Roman" w:eastAsia="Times New Roman" w:hAnsi="Times New Roman" w:cs="Times New Roman"/>
          <w:sz w:val="28"/>
          <w:szCs w:val="28"/>
        </w:rPr>
        <w:t>сроком уплаты до 25 декабря 2023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(но не позднее даты окончания срока действия договора) по договорам аренды объектов недвижимости и (или) земельных участков, находящихся в собственности Оренбургской области, собственности муниципальных образований Оренбургской области, земельных участков, государственная собственность на которые не разграничена, для субъектов малого и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среднего предпринимательства и (или) социально ориентированных некоммерческих организаций (постановление Правительства Оренбургской области от 26 мая 2022 года 476-пп «О мерах имущественной поддержки организаций, индивидуальных предпринимателей и </w:t>
      </w:r>
      <w:proofErr w:type="spellStart"/>
      <w:r w:rsidRPr="00DD5D38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граждан, являющихся арендаторами имущества, находящегося в государственной собственности Оренбургской области, в 2022 году»).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Особенности исполнения консолидированного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сельсовет за</w:t>
      </w:r>
      <w:r w:rsidR="00AE28FE">
        <w:rPr>
          <w:rFonts w:ascii="Times New Roman" w:eastAsia="Times New Roman" w:hAnsi="Times New Roman" w:cs="Times New Roman"/>
          <w:sz w:val="28"/>
          <w:szCs w:val="28"/>
        </w:rPr>
        <w:t xml:space="preserve"> 1 полугодие 2024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характеризуется следующими особенностями: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увеличением поступлений налога на доходы физических лиц, который обусловлен ростом фонда оплаты труда;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приростом поступлений акцизов по подакцизным товарам, который связан с увеличением объемов реализации подакцизной  продукции;                              увеличением поступлений налога, взимаемого в связи с применением упрощенной системы налогообложения связанно с увеличением налогоплательщиков, которые перешли с системы единого налога на вмененный доход для отдельных видов деятельности; </w:t>
      </w:r>
      <w:proofErr w:type="gramEnd"/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ростом поступлений доходов от продажи материальных и нематериальных активов за счет продажи на аукционах земельных участков для индивидуального жилищного строительства.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На исполнение налоговых и неналоговых доходов районного бюджета в текущем году оказывают влияние изменения федерального и регионального законодательства: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1) на федеральном уровне: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внедрение института единого налогового счета, который предусматривает консолидацию всех обязанностей плательщика по уплате обязательных платежей, регулируемых Налоговым кодексом Российской Федерации, в едином сальдо расчетов с бюджетами бюджетной системы Российской Федерации с их погашением с единого налогового счета, функционирующего в виде именного авансового счета, пополняемого плательщиком. Уплата обязательных платежей, регулируемых Налоговым кодексом Российской Федерации, одним платежным поручением без уточнения вида платежа, срока его уплаты, принадлежности к конкретному бюджету бюджетной системы;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19050"/>
            <wp:effectExtent l="19050" t="0" r="9525" b="0"/>
            <wp:docPr id="22" name="Picture 10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4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зачисление налога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на доходы физических лиц в первоочередном порядке в консолидированные бюджеты субъектов Российской Федерации в целях обеспечения поступлений доходов в бюджеты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и возможности своевременного финансирования первоочередных расходов;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внесение изменений в пункт 3.1 статьи 346.21 и подпункт 1 пункта 1.2 статьи 346.51 Налогового кодекса Российской Федерации, согласно которым, начиная с 2023 года налогоплательщики, применяющие упрощенную систему налогообложения и выбравшие в качестве объекта налогообложения доходы, и налогоплательщики патентной системы налогообложения вправе уменьшить сумму налога (авансовых платежей по налогу), исчисленную за налоговый (отчетный) период, на сумму страховых взносов на обязательное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пенсионное страхование и на обязательное медицинское страхование без необходимости их фактической уплаты на момент уменьшения суммы налога;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осуществление с 1 января 2023 года выдачи специальных разрешений на движение тяжеловесных и крупногабаритных транспортных средств только в электронном виде федеральным органом исполнительной власти, осуществляющим функции по оказанию государственных услуг и управлению государственным имуществом в сфере дорожного хозяйства, самостоятельно либо через уполномоченное им подведомственное учреждение;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2) на региональном уровне: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передача с 1 января 2023 года из областного бюджета в бюджеты городских округов и муниципальных районов Оренбургской области дополнительно 1 процента налога на доходы физических лиц, за исключением сумм налога, относящихся к части налоговой базы, превышающей 5,0 млн. рублей, и налога, уплачиваемого иностранными гражданами, осуществляющими трудовую деятельность по найму на основании патента (Закон Оренбургской области от 30 ноября 2005 года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2738/499-111-03 «О межбюджетных отношениях в Оренбургской области»);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освобождение от уплаты налога на имущество в размере 70 процентов от исчисленной суммы налога организаций, осуществляющих виды деятельности, входящие в подклассы 01.1—01.5 класса 01 «Растениеводство и животноводство, охота и предоставление соответствующих услуг в этих областях» раздела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«Сельское, лесное хозяйство, охота, рыболовство и рыбоводство» Общероссийского классификатора видов экономической деятельности, в отношении имущества, используемого непосредственно для производства, переработки и хранения сельскохозяйственной продукции (Закон Оренбургской области от 27 ноября 2003 года № 613/70-III-03 </w:t>
      </w:r>
      <w:r w:rsidR="005D4F83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«О налоге на имущество организаций»);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освобождение от уплаты налога на имущество организаций, осуществляющих виды деятельности, входящие в подклассы 01.1—01.5 класса 01 «Растениеводство и животноводство, охота и предоставление соответствующих услуг в этих областях» раздела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«Сельское, лесное хозяйство, охота, рыболовство и рыбоводство» Общероссийского классификатора видов экономической деятельности, в отношении вновь созданного имущества, используемого непосредственно для производства, переработки и хранения сельскохозяйственной продукции (Закон Оренбургской области от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27 ноября 2003 года </w:t>
      </w:r>
      <w:r w:rsidRPr="00DD5D3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№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613/70-111-03 «О налоге на имущество организаций»);</w:t>
      </w:r>
      <w:proofErr w:type="gramEnd"/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освобождение от уплаты налога на имущество организаций в отношении объектов недвижимого имущества, предназначенных для обеспечения деятельности детской железной дороги и реализации программ дополнительного образования, направленных на проведение профессионально-ориентационной работы среди молодежи в сфере железнодорожного транспорта (Закон Оренбургской области от 27 ноября 2003 года № 613/70-III-03 «О налоге на имущество организаций»);                                             освобождение от уплаты налога на имущество газораспределительных организаций в отношении вновь созданных в рамках утвержденной региональной программы газификации жилищно-коммунального хозяйства, промышленных и иных организаций Оренбургской области объектов газораспределительной системы (Закон Оренбургской области от 27 ноября 2003 года N2 613/70-III-03 «О налоге на имущество организаций»);                          освобождение от уплаты налога на имущество организаций концессионеров, заключивших с Оренбургской областью концессионные соглашения в целях создания объекта здравоохранения на территории Оренбургской области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lastRenderedPageBreak/>
        <w:t>(Закон Оренбургской области от 27 ноября 2003 года № 613/70-111-03 «О налоге на имущество организаций»).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D5D38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 рамках бюджетной политики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продолжена реализация мероприятий согласно указам Президента Российской Федерации от 7 мая 2012 года № 597-606 (далее – указы Президента), а также новых векторов, обозначенных в указе Президента Российской Федерации от 7 мая 2018 года  в посланиях Президента Российской Федерации от 21 апреля 2021 года, 21 февраля 2023 года и исполнение в полном объеме принятых социальных обязательств. </w:t>
      </w:r>
      <w:proofErr w:type="gramEnd"/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D5D38">
        <w:rPr>
          <w:rFonts w:ascii="Times New Roman" w:eastAsia="Calibri" w:hAnsi="Times New Roman" w:cs="Times New Roman"/>
          <w:sz w:val="28"/>
          <w:szCs w:val="28"/>
        </w:rPr>
        <w:t>Продолжена</w:t>
      </w:r>
      <w:proofErr w:type="gramEnd"/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работа по заключению с сельскими поселениями района заключаются соглашения о мерах по обеспечению устойчивого социально-экономического развития и оздоровлению муниципальных финансов. </w:t>
      </w:r>
      <w:proofErr w:type="gramStart"/>
      <w:r w:rsidRPr="00DD5D38">
        <w:rPr>
          <w:rFonts w:ascii="Times New Roman" w:eastAsia="Calibri" w:hAnsi="Times New Roman" w:cs="Times New Roman"/>
          <w:sz w:val="28"/>
          <w:szCs w:val="28"/>
        </w:rPr>
        <w:t>Данные соглашения предусматривают обязательства по достижению показателей социально-экономического развития (рост налоговых и неналоговых доходов, сокращение недоимки в местные бюджеты, недопущение кредиторской задолженности и т.д.), осуществлению мероприятий по повышению эффективности бюджетных расходов (проведение оценки эффективности налоговых льгот, утверждение плана по отмене налоговых льгот, признанных неэффективными, не установление обязательств, не связанных с решением вопросов, отнесенных Конституцией Российской Федерации, федеральными законами и</w:t>
      </w:r>
      <w:proofErr w:type="gramEnd"/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законами Оренбургской области к полномочиям органов местного самоуправления и т.д.) и иные положения.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За не достижение установленных показателей социально- экономического развития предусмотрена финансовая ответственность муниципального образования. 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202</w:t>
      </w:r>
      <w:r w:rsidR="005D4F83">
        <w:rPr>
          <w:rFonts w:ascii="Times New Roman" w:eastAsia="Times New Roman" w:hAnsi="Times New Roman" w:cs="Times New Roman"/>
          <w:color w:val="000000"/>
          <w:sz w:val="28"/>
          <w:szCs w:val="28"/>
        </w:rPr>
        <w:t>3 года и первой половины 2024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показатели средней заработной платы работников бюджетной сферы, поименованных в Указах Президента, достигнуты по всем категориям работников бюджетной сферы. 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Заработная плата работников бюджетной сферы в </w:t>
      </w:r>
      <w:proofErr w:type="spell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Акбулакском</w:t>
      </w:r>
      <w:proofErr w:type="spell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 увязана со средней заработной платой по экономике региона.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В соответствии с планами первоочередных мероприятий по обеспечению устойчивого развития экономики особое внимание уделялось созданию условий для развития сельских территорий, доступности услуг различного вида транспорта, развитию дорожного хозяйства и повышению безопасности дорожного движения.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D38">
        <w:rPr>
          <w:rFonts w:ascii="Times New Roman" w:eastAsia="Calibri" w:hAnsi="Times New Roman" w:cs="Times New Roman"/>
          <w:sz w:val="28"/>
          <w:szCs w:val="28"/>
        </w:rPr>
        <w:t>Также продолжена работа по реализации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плана мероприятий по консолидации бюджетных средств и оптимизации бюджетных расходов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DD5D38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на 2017-2024 годы, утвержденного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сельсовет от 06.06.2017 № 34-п  (с </w:t>
      </w:r>
      <w:proofErr w:type="gramStart"/>
      <w:r w:rsidRPr="00DD5D38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учетом изменений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06.04.2020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 w:rsidRPr="00DD5D38">
        <w:rPr>
          <w:rFonts w:ascii="Times New Roman" w:eastAsia="Calibri" w:hAnsi="Times New Roman" w:cs="Times New Roman"/>
          <w:sz w:val="28"/>
          <w:szCs w:val="28"/>
        </w:rPr>
        <w:t>) (далее - план).</w:t>
      </w:r>
    </w:p>
    <w:p w:rsidR="00DD5D38" w:rsidRPr="00DD5D38" w:rsidRDefault="00DD5D38" w:rsidP="00DD5D38">
      <w:pPr>
        <w:spacing w:after="44" w:line="240" w:lineRule="auto"/>
        <w:ind w:left="71" w:right="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На официальном сайте 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сельсовет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размещается информация по формированию и исполнению местного бюджета, так же размещается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«Бюджет поселения».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II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Внешние условия реализации бюджетной и налоговой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сельсовет </w:t>
      </w:r>
      <w:r w:rsidR="005D4F83">
        <w:rPr>
          <w:rFonts w:ascii="Times New Roman" w:eastAsia="Times New Roman" w:hAnsi="Times New Roman" w:cs="Times New Roman"/>
          <w:color w:val="000000"/>
          <w:sz w:val="28"/>
          <w:szCs w:val="28"/>
        </w:rPr>
        <w:t>на 2025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на планов</w:t>
      </w:r>
      <w:r w:rsidR="005D4F83">
        <w:rPr>
          <w:rFonts w:ascii="Times New Roman" w:eastAsia="Times New Roman" w:hAnsi="Times New Roman" w:cs="Times New Roman"/>
          <w:color w:val="000000"/>
          <w:sz w:val="28"/>
          <w:szCs w:val="28"/>
        </w:rPr>
        <w:t>ый период 2026 и 2027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 На бюджетную и налоговую полит</w:t>
      </w:r>
      <w:r w:rsidR="005D4F83">
        <w:rPr>
          <w:rFonts w:ascii="Times New Roman" w:eastAsia="Times New Roman" w:hAnsi="Times New Roman" w:cs="Times New Roman"/>
          <w:sz w:val="28"/>
          <w:szCs w:val="28"/>
        </w:rPr>
        <w:t>ику Оренбургской области на 2025 год и на плановый период 2026 и 2027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годов будут оказывать влияние внешние факторы, прежде всего изменения в федеральном законодательстве:</w:t>
      </w:r>
    </w:p>
    <w:p w:rsidR="00DD5D38" w:rsidRPr="00DD5D38" w:rsidRDefault="00DD5D38" w:rsidP="00987369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совершенствование института единого налогового счета (в том числе предоставление возможности наследникам права распоряжаться суммой денежных средств положительного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ab/>
        <w:t xml:space="preserve">сальдо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 xml:space="preserve">умершего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налогоплательщика);</w:t>
      </w:r>
    </w:p>
    <w:p w:rsidR="00DD5D38" w:rsidRPr="00DD5D38" w:rsidRDefault="00DD5D38" w:rsidP="00987369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по налогу на доходы физических лиц:</w:t>
      </w:r>
    </w:p>
    <w:p w:rsidR="00DD5D38" w:rsidRPr="00DD5D38" w:rsidRDefault="00DD5D38" w:rsidP="009873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с 1 января 202</w:t>
      </w:r>
      <w:r w:rsidR="005D4F8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года: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расширение сферы применения налоговой льготы, установленной для семей с детьми в отношении дохода от продажи жилого помещения при улучшении жилищных условий (льгота применяется не только при покупке, в частности, индивидуального жилого дома, но также при строительстве индивидуального жилого дома); </w:t>
      </w:r>
      <w:proofErr w:type="gramEnd"/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увеличение предельной суммы социальных налоговых вычетов на свое обучение, медицинские услуги (за исключением дорогостоящих услуг), физкультурно-оздоровительные услуги и личное страхование — в совокупности не более 150 тыс. рублей за налоговый период;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увеличение предельной суммы социального налогового вычета на обучение детей и (или) подопечных — до 110 тыс. рублей; </w:t>
      </w:r>
    </w:p>
    <w:p w:rsidR="00DD5D38" w:rsidRPr="00DD5D38" w:rsidRDefault="005D4F83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с 1 января 2026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расширение перечня доходов в части дополнения вознаграждением за выполненные работы, оказанные услуги, предоставленные права использования результатов интеллектуальной деятельности или средств индивидуализации, которые выполняют с помощью информационно-коммуникационной сети «Интернет» независимо от места, где фактически выполнялись работы, оказывались услуги, предоставлялись права использования результатов интеллектуальной деятельности или средств индивидуализации;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признание иностранных компаний налоговыми агентами по доходам, выплачиваемым физическим лицам, которые выполняют работы и оказывают услуги в Российской Федерации, в том числе в области информационных технологий, с помощью информационно-коммуникационной сети «Интернет»;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4) по акцизам по подакцизным товарам (продукции), производимым на территории Российской Федерации:</w:t>
      </w:r>
    </w:p>
    <w:p w:rsidR="00DD5D38" w:rsidRPr="00DD5D38" w:rsidRDefault="005D4F83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продление на 2026—2027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годы норматива зачисления акцизов на нефтепродукты в бюджеты субъектов Российской Ф</w:t>
      </w:r>
      <w:r>
        <w:rPr>
          <w:rFonts w:ascii="Times New Roman" w:eastAsia="Times New Roman" w:hAnsi="Times New Roman" w:cs="Times New Roman"/>
          <w:sz w:val="28"/>
          <w:szCs w:val="28"/>
        </w:rPr>
        <w:t>едерации, установленного на 2025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5) по государственной пошлине: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с 1 января 2024 года освобождаются от уплаты госпошлины за нотариальное удостоверение доверенности на представление интересов в судах, государственных и муниципальных органах, организациях физические лица при оказании им бесплатной юридической помощи в соответствии с Федеральным законом от 21 ноября 2011 года № 324-ФЗ «О бесплатной юридической помощи в Российской Федерации» и законами субъектов Российской Федерации.</w:t>
      </w:r>
      <w:proofErr w:type="gramEnd"/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Приорит</w:t>
      </w:r>
      <w:r w:rsidR="001C28B5">
        <w:rPr>
          <w:rFonts w:ascii="Times New Roman" w:eastAsia="Times New Roman" w:hAnsi="Times New Roman" w:cs="Times New Roman"/>
          <w:sz w:val="28"/>
          <w:szCs w:val="28"/>
        </w:rPr>
        <w:t>етным остается сохранение в 2025—2027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годах достигнутого соотношения между уровнем оплаты отдельных категорий работников бюджетной сферы и уровнем среднемесячного дохода от трудовой деятельности в Оренбургской области.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При планировании бюджетных ассигнований местного бюджета на оплату труда работников учреждений, получающих заработную плату на уровне минимального размера оплаты труда, учт</w:t>
      </w:r>
      <w:r w:rsidR="001C28B5">
        <w:rPr>
          <w:rFonts w:ascii="Times New Roman" w:eastAsia="Times New Roman" w:hAnsi="Times New Roman" w:cs="Times New Roman"/>
          <w:sz w:val="28"/>
          <w:szCs w:val="28"/>
        </w:rPr>
        <w:t>ено установление с 1 января 2025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минимального</w:t>
      </w:r>
      <w:r w:rsidR="001C28B5">
        <w:rPr>
          <w:rFonts w:ascii="Times New Roman" w:eastAsia="Times New Roman" w:hAnsi="Times New Roman" w:cs="Times New Roman"/>
          <w:sz w:val="28"/>
          <w:szCs w:val="28"/>
        </w:rPr>
        <w:t xml:space="preserve"> размера оплаты труда в сумме 25 806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рублей (с уральским коэффициентом).</w:t>
      </w:r>
    </w:p>
    <w:p w:rsidR="00DD5D38" w:rsidRPr="00DD5D38" w:rsidRDefault="001C28B5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 2025 году и плановом периоде 2026 и 2027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годов участие в государственных программах Российской Федерации будет осуществляться исходя из предельного уровня </w:t>
      </w:r>
      <w:proofErr w:type="spellStart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Оренбургской области за счет средств областного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бюджета, установленного на 2025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в размере 99,0 процента, на 2026 год — 99,0 процента, на 2027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 — 99,0 процента</w:t>
      </w:r>
      <w:r w:rsidR="00DD5D38" w:rsidRPr="00DD5D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Цели и задачи бюджетной и налоговой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color w:val="000000"/>
          <w:sz w:val="28"/>
          <w:szCs w:val="28"/>
        </w:rPr>
        <w:t>Мичуринский</w:t>
      </w:r>
      <w:r w:rsidR="001C28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на 2025 и на плановый период 2026 и 2027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местного бюджета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Основные направления налоговой </w:t>
      </w:r>
      <w:proofErr w:type="gram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политики подготовлены с целью составления проекта бюджета муниципального образования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1C28B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на 2025 год и на плановый период 2026 и 2027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годов. Основные направления налоговой </w:t>
      </w:r>
      <w:proofErr w:type="gram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политики также необходимо учитывать при подготовке проектов бюджетов сельских поселений муниципальных образований</w:t>
      </w:r>
      <w:proofErr w:type="gram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Акбулакского</w:t>
      </w:r>
      <w:proofErr w:type="spell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района (далее – муниципальных образований). 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Главными задачами основных направлений налоговой политики являются обеспечение сбалансированности бюджета и развитие предпринимательской и инвестиционной активности, обеспечивающей налоговую конкурентоспособность района на внутреннем и внешнем рынках. 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Цель реализации налоговой политики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Акбулакского</w:t>
      </w:r>
      <w:proofErr w:type="spell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района – дальнейшее повышение эффективности налоговой системы. 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При этом налоговая политика должна быть направлена на обеспечение устойчивого развития экономики и социальной стабильности в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образовании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. 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  <w:lastRenderedPageBreak/>
        <w:t xml:space="preserve">В целях выравнивания налоговой нагрузки на сопоставимые объекты налогообложения организаций и физических лиц предусматривается </w:t>
      </w:r>
      <w:proofErr w:type="gram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  <w:t>переход</w:t>
      </w:r>
      <w:proofErr w:type="gram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  <w:t xml:space="preserve"> к налогообложению недвижимого имущества организаций исходя из кадаст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  <w:softHyphen/>
        <w:t>ровой стоимости в отношении всех объектов недвижимости (за исключением отдельных сооружений).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Предусматривается ежегодное утверждение перечня объектов недвижимого имущества, налоговая база по налогу на имущество организаций по которым рассчитывается исходя из кадастровой стоимости в соответствии со статьей 378.2 Налогового кодекса Российской Федерации.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Сохраняется механизм регулярной оценки эффективности налоговых льгот с точки зрения поставленных целей и механизмов корректировки или отмены, в случае если поставленные цели не достигаются.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  <w:lang w:bidi="ru-RU"/>
        </w:rPr>
        <w:t>В целях наполнения Единого государственного реестра недвижимости актуальными сведениями о правообладателях ранее учтенных объектов недви</w:t>
      </w:r>
      <w:r w:rsidRPr="00DD5D38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жимости и вовлечения их в гражданский оборот продолжается начатая в 2021 году работа по практической реализации на территории Оренбургской области положений Федерального закона от 30 декабря 2020 года № 518-ФЗ «О внесении изменений в отдельные законодательные акты Российской Феде</w:t>
      </w:r>
      <w:r w:rsidRPr="00DD5D38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рации», устанавливающего порядок выявления правообладателей таких объ</w:t>
      </w:r>
      <w:r w:rsidRPr="00DD5D38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ектов недвижимости.</w:t>
      </w:r>
      <w:proofErr w:type="gramEnd"/>
    </w:p>
    <w:p w:rsidR="00DD5D38" w:rsidRPr="00DD5D38" w:rsidRDefault="00DD5D38" w:rsidP="00DD5D38">
      <w:pPr>
        <w:spacing w:after="308" w:line="240" w:lineRule="auto"/>
        <w:ind w:left="71" w:righ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В целях дальнейшего развития электронного документооборота в налоговой сфере предусматривается возможность использования индивидуальными предпринимателями личного кабинета налогоплательщика.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Расходы местного  бюджета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D5D38">
        <w:rPr>
          <w:rFonts w:ascii="Times New Roman" w:eastAsia="Calibri" w:hAnsi="Times New Roman" w:cs="Times New Roman"/>
          <w:sz w:val="28"/>
          <w:szCs w:val="28"/>
        </w:rPr>
        <w:t>Формирование бюджетных ассиг</w:t>
      </w:r>
      <w:r w:rsidR="003C2A27">
        <w:rPr>
          <w:rFonts w:ascii="Times New Roman" w:eastAsia="Calibri" w:hAnsi="Times New Roman" w:cs="Times New Roman"/>
          <w:sz w:val="28"/>
          <w:szCs w:val="28"/>
        </w:rPr>
        <w:t>нований местного бюджета на 2025 год и на плановый период 2026 и 2027</w:t>
      </w:r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годов будет осуществляться с учетом необходимости решения задач, поставленных в Указе Президента от 7 мая 2018 года № 204 «О национальных целях и стратегических задачах развития Российской Федерации на период до 2024 года», от 21 июля 2020 № 474 </w:t>
      </w:r>
      <w:r w:rsidR="003C2A27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DD5D38">
        <w:rPr>
          <w:rFonts w:ascii="Times New Roman" w:eastAsia="Calibri" w:hAnsi="Times New Roman" w:cs="Times New Roman"/>
          <w:sz w:val="28"/>
          <w:szCs w:val="28"/>
        </w:rPr>
        <w:t>«О национальных целях развития Российской Федерации на период</w:t>
      </w:r>
      <w:proofErr w:type="gramEnd"/>
      <w:r w:rsidRPr="00DD5D38">
        <w:rPr>
          <w:rFonts w:ascii="Times New Roman" w:eastAsia="Calibri" w:hAnsi="Times New Roman" w:cs="Times New Roman"/>
          <w:sz w:val="28"/>
          <w:szCs w:val="28"/>
        </w:rPr>
        <w:t xml:space="preserve"> до 2030 года», приоритетного направления бюджетных средств на реализацию национальных проектов.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соглашением, заключенным с Министерством финансов Оренбургской области на предоставление дотации из областного бюджета на выравнивание бюджетной обеспеченности для </w:t>
      </w:r>
      <w:proofErr w:type="spellStart"/>
      <w:r w:rsidRPr="00DD5D38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района установлены обязательные к достижению показатели социально-экономического развития и финансового оздоровления экономики.</w:t>
      </w: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Аналогичные условия социально-экономического развития и финансового оздоровления экономики будут установлены и обязательны для муниципальных образований района, являющихся получателями дотации из местного бюджета. 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Планирование предельных объемов бюджетных ассигнований местного бюджета на 2023 и 2024 годы будет осуществляться исходя из «базовых» объемов, утвержденных решением Совета депутатов муниципального образования </w:t>
      </w:r>
      <w:r w:rsidR="00987369">
        <w:rPr>
          <w:rFonts w:ascii="Times New Roman" w:eastAsia="Times New Roman" w:hAnsi="Times New Roman" w:cs="Times New Roman"/>
          <w:color w:val="000000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от 2</w:t>
      </w:r>
      <w:r w:rsidR="00987369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.12.2022 № </w:t>
      </w:r>
      <w:r w:rsidR="00987369">
        <w:rPr>
          <w:rFonts w:ascii="Times New Roman" w:eastAsia="Times New Roman" w:hAnsi="Times New Roman" w:cs="Times New Roman"/>
          <w:color w:val="000000"/>
          <w:sz w:val="28"/>
          <w:szCs w:val="28"/>
        </w:rPr>
        <w:t>99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бюджете муниципального образования </w:t>
      </w:r>
      <w:r w:rsidR="00987369">
        <w:rPr>
          <w:rFonts w:ascii="Times New Roman" w:eastAsia="Times New Roman" w:hAnsi="Times New Roman" w:cs="Times New Roman"/>
          <w:color w:val="000000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на 2023 год и на плановый период 2024 и 2025 годов» с учетом особенностей планирования бюджетных ассигнований, установленных методикой формирования бюджета муниципального образования </w:t>
      </w:r>
      <w:r w:rsidR="00987369">
        <w:rPr>
          <w:rFonts w:ascii="Times New Roman" w:eastAsia="Times New Roman" w:hAnsi="Times New Roman" w:cs="Times New Roman"/>
          <w:color w:val="000000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сельсовет.</w:t>
      </w:r>
      <w:proofErr w:type="gramEnd"/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Формирование расходов местного бюджета на 2023–2025 годы будет осуществляться исходя из следующих приоритетов.</w:t>
      </w:r>
    </w:p>
    <w:p w:rsidR="00DD5D38" w:rsidRPr="001C28B5" w:rsidRDefault="003C2A27" w:rsidP="00DD5D38">
      <w:pPr>
        <w:spacing w:after="0" w:line="240" w:lineRule="auto"/>
        <w:ind w:left="71"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В 2025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году ожидается рост </w:t>
      </w:r>
      <w:proofErr w:type="gramStart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>оплаты труда работников учреждений бюджетной сферы Оренбургской области</w:t>
      </w:r>
      <w:proofErr w:type="gramEnd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>. Этому будет способ</w:t>
      </w:r>
      <w:r>
        <w:rPr>
          <w:rFonts w:ascii="Times New Roman" w:eastAsia="Times New Roman" w:hAnsi="Times New Roman" w:cs="Times New Roman"/>
          <w:sz w:val="28"/>
          <w:szCs w:val="28"/>
        </w:rPr>
        <w:t>ствовать индексация окладов на 8,3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процен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та, </w:t>
      </w:r>
      <w:r w:rsidR="001C28B5" w:rsidRPr="001C28B5">
        <w:rPr>
          <w:rFonts w:ascii="Times New Roman" w:hAnsi="Times New Roman" w:cs="Times New Roman"/>
          <w:sz w:val="28"/>
          <w:szCs w:val="28"/>
        </w:rPr>
        <w:t xml:space="preserve">прогнозирование на 2025 год минимального </w:t>
      </w:r>
      <w:proofErr w:type="gramStart"/>
      <w:r w:rsidR="001C28B5" w:rsidRPr="001C28B5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1C28B5" w:rsidRPr="001C28B5">
        <w:rPr>
          <w:rFonts w:ascii="Times New Roman" w:hAnsi="Times New Roman" w:cs="Times New Roman"/>
          <w:sz w:val="28"/>
          <w:szCs w:val="28"/>
        </w:rPr>
        <w:t xml:space="preserve"> в сумме 25 806 рублей </w:t>
      </w:r>
      <w:r w:rsidR="00DD5D38" w:rsidRPr="001C28B5">
        <w:rPr>
          <w:rFonts w:ascii="Times New Roman" w:eastAsia="Times New Roman" w:hAnsi="Times New Roman" w:cs="Times New Roman"/>
          <w:sz w:val="28"/>
          <w:szCs w:val="28"/>
        </w:rPr>
        <w:t>(с уральским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коэффициентом).</w:t>
      </w:r>
      <w:r w:rsidR="001C28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28B5" w:rsidRPr="001C28B5">
        <w:rPr>
          <w:rFonts w:ascii="Times New Roman" w:hAnsi="Times New Roman" w:cs="Times New Roman"/>
          <w:sz w:val="28"/>
          <w:szCs w:val="28"/>
        </w:rPr>
        <w:t>В предельных объемах бюджетных ассигнований учтен объем средств на оплату труда с начислениями поименованных в указах президента, учитывая среднемесячный доход от трудовой деятельности в Оренбургской области в 2025 году в размере 56700 рублей в месяц.</w:t>
      </w:r>
    </w:p>
    <w:p w:rsidR="00DD5D38" w:rsidRPr="00DD5D38" w:rsidRDefault="00DD5D38" w:rsidP="00DD5D38">
      <w:pPr>
        <w:spacing w:after="42" w:line="240" w:lineRule="auto"/>
        <w:ind w:left="71"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Объемы средств на оплату коммунальных услуг рассчитыв</w:t>
      </w:r>
      <w:r w:rsidR="001C28B5">
        <w:rPr>
          <w:rFonts w:ascii="Times New Roman" w:eastAsia="Times New Roman" w:hAnsi="Times New Roman" w:cs="Times New Roman"/>
          <w:sz w:val="28"/>
          <w:szCs w:val="28"/>
        </w:rPr>
        <w:t>аются с учетом индексации на 4,5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процента. Объем средств на продукты питания рассчитывается с учетом индексации на 9,8 процента.</w:t>
      </w:r>
    </w:p>
    <w:p w:rsidR="00DD5D38" w:rsidRPr="00DD5D38" w:rsidRDefault="00DD5D38" w:rsidP="00DD5D38">
      <w:pPr>
        <w:spacing w:after="26" w:line="240" w:lineRule="auto"/>
        <w:ind w:left="71"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Приоритетной за</w:t>
      </w:r>
      <w:r w:rsidR="003C2A27">
        <w:rPr>
          <w:rFonts w:ascii="Times New Roman" w:eastAsia="Times New Roman" w:hAnsi="Times New Roman" w:cs="Times New Roman"/>
          <w:sz w:val="28"/>
          <w:szCs w:val="28"/>
        </w:rPr>
        <w:t>дачей в предстоящем периоде 2025—2027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годов является обеспечение выполнения в соответствии с законодательством Российской Федерации и Оренбургской области всех социальных обязательств в полном объеме.</w:t>
      </w:r>
    </w:p>
    <w:p w:rsidR="00DD5D38" w:rsidRPr="00DD5D38" w:rsidRDefault="003C2A27" w:rsidP="00DD5D38">
      <w:pPr>
        <w:spacing w:after="44" w:line="240" w:lineRule="auto"/>
        <w:ind w:left="71" w:righ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В 2025 году и плановом периоде 2026 и 2027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годов участие в государственных программах Российской Федерации будет осуществляться исходя из предельного уровня </w:t>
      </w:r>
      <w:proofErr w:type="spellStart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Оренбургской области за счет средств областного бюджета, установленного, на 2025 год — 99,0 процента, на 2026 год — 99,0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оцента, на 2027 год -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99,0 процента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D5D38" w:rsidRPr="00DD5D38" w:rsidRDefault="00DD5D38" w:rsidP="00DD5D38">
      <w:pPr>
        <w:spacing w:after="0" w:line="240" w:lineRule="auto"/>
        <w:ind w:left="71" w:righ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В рамках реализации послания Президента Российской Федерации Федеральному Собранию Российской Федерации от 21 апреля 2021 года с 1 января 2023 года средства в пределах поступлений в доход областного бюджета платы за негативное воздействие на окружающую среду, от платежей по искам о возмещении вреда, причиненного окружающей среде вследствие нарушений обязательных требований, платежей при добровольном возмещении такого вреда (за исключением нарушений обязательных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требований на особо охраняемых природных территориях федерального значения), а также от административных штрафов за административные правонарушения в области охраны окружающей среды и природопользования (за исключением таких штрафов, налагаемых на особо охраняемых природных территориях федерального значения), аккумулируются с целью их направления на выявление, оценку и (или)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lastRenderedPageBreak/>
        <w:t>ликвидацию объектов накопленного вреда окружающей среде и (или) иные природоохранные мероприятия.</w:t>
      </w:r>
      <w:proofErr w:type="gramEnd"/>
    </w:p>
    <w:p w:rsidR="00DD5D38" w:rsidRPr="00DD5D38" w:rsidRDefault="003C2A27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местном бюджете на 2025-2027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годы предусматриваются расходы на уплату в полном объеме налогов и сборов в соответствии с законодательством Российской Федерации о налогах и сборах.</w:t>
      </w:r>
    </w:p>
    <w:p w:rsidR="00DD5D38" w:rsidRPr="00DD5D38" w:rsidRDefault="003C2A27" w:rsidP="00DD5D38">
      <w:pPr>
        <w:spacing w:after="0" w:line="240" w:lineRule="auto"/>
        <w:ind w:left="71"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2025-2027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годах будет продолжена практика обязательного обеспечения в местных бюджетах первоочередных расходов на оплату труда работников бюджетной сферы, обязательных платежей, коммунальных услуг, содержание учреждений.</w:t>
      </w:r>
    </w:p>
    <w:p w:rsidR="00DD5D38" w:rsidRPr="00DD5D38" w:rsidRDefault="00DD5D38" w:rsidP="00DD5D38">
      <w:pPr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bidi="ru-RU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6"/>
          <w:lang w:bidi="ru-RU"/>
        </w:rPr>
        <w:t>В части разработки и реализации муниципальных программ с 2023 года планируется переход на новую систему управления с учетом постановления Правительства Российской Федерации от 26 мая 2021 года № 786 «О системе управления государственными программами Российской Федерации».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Дефицит местного бюджета</w:t>
      </w:r>
    </w:p>
    <w:p w:rsidR="00DD5D38" w:rsidRPr="00DD5D38" w:rsidRDefault="00DD5D38" w:rsidP="00DD5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5D38" w:rsidRPr="00DD5D38" w:rsidRDefault="00DD5D38" w:rsidP="00D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условиях экономии бюджетных средств одним из важных направлений бюджетной политики в текущем году на предстоящую трехлетку будет являться обеспечение </w:t>
      </w:r>
      <w:proofErr w:type="spellStart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бездефицитности</w:t>
      </w:r>
      <w:proofErr w:type="spellEnd"/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местного бюджета, как по плановым значениям, так и по фактическим.</w:t>
      </w:r>
    </w:p>
    <w:p w:rsidR="00DD5D38" w:rsidRPr="00DD5D38" w:rsidRDefault="00DD5D38" w:rsidP="00D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DD5D3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______________</w:t>
      </w:r>
    </w:p>
    <w:p w:rsidR="00DD5D38" w:rsidRPr="00DD5D38" w:rsidRDefault="00DD5D38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D38" w:rsidRPr="00DD5D38" w:rsidRDefault="00DD5D38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D38" w:rsidRDefault="00DD5D38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369" w:rsidRPr="00DD5D38" w:rsidRDefault="00987369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D38" w:rsidRPr="00DD5D38" w:rsidRDefault="00DD5D38" w:rsidP="00DD5D38">
      <w:pPr>
        <w:shd w:val="clear" w:color="auto" w:fill="FFFFFF"/>
        <w:spacing w:after="0" w:line="274" w:lineRule="exact"/>
        <w:ind w:left="40" w:right="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5D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№ 2 </w:t>
      </w:r>
    </w:p>
    <w:p w:rsidR="00DD5D38" w:rsidRPr="00DD5D38" w:rsidRDefault="00DD5D38" w:rsidP="00DD5D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DD5D38" w:rsidRPr="00DD5D38" w:rsidRDefault="00DD5D38" w:rsidP="009873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DD5D38" w:rsidRPr="00DD5D38" w:rsidRDefault="00DD5D38" w:rsidP="00DD5D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от 0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9</w:t>
      </w:r>
      <w:r w:rsidR="003C2A27">
        <w:rPr>
          <w:rFonts w:ascii="Times New Roman" w:eastAsia="Times New Roman" w:hAnsi="Times New Roman" w:cs="Times New Roman"/>
          <w:sz w:val="28"/>
          <w:szCs w:val="28"/>
        </w:rPr>
        <w:t>.11.2024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C2A27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Основные направления</w:t>
      </w: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3C2A27">
        <w:rPr>
          <w:rFonts w:ascii="Times New Roman" w:eastAsia="Times New Roman" w:hAnsi="Times New Roman" w:cs="Times New Roman"/>
          <w:sz w:val="28"/>
          <w:szCs w:val="28"/>
        </w:rPr>
        <w:t xml:space="preserve"> сельсовет на 2025 год и на плановый период 2026 и 2027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ab/>
        <w:t xml:space="preserve">Итоги реализации долговой </w:t>
      </w:r>
      <w:r w:rsidR="003C2A27">
        <w:rPr>
          <w:rFonts w:ascii="Times New Roman" w:eastAsia="Times New Roman" w:hAnsi="Times New Roman" w:cs="Times New Roman"/>
          <w:sz w:val="28"/>
          <w:szCs w:val="28"/>
        </w:rPr>
        <w:t xml:space="preserve">политики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3C2A27">
        <w:rPr>
          <w:rFonts w:ascii="Times New Roman" w:eastAsia="Times New Roman" w:hAnsi="Times New Roman" w:cs="Times New Roman"/>
          <w:sz w:val="28"/>
          <w:szCs w:val="28"/>
        </w:rPr>
        <w:t xml:space="preserve"> сельсовет в 2023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году и текущее состояние муниципального долга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 сельсовет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Муниципальный до</w:t>
      </w:r>
      <w:r w:rsidR="003C2A27">
        <w:rPr>
          <w:rFonts w:ascii="Times New Roman" w:eastAsia="Times New Roman" w:hAnsi="Times New Roman" w:cs="Times New Roman"/>
          <w:sz w:val="28"/>
          <w:szCs w:val="28"/>
        </w:rPr>
        <w:t>лг по состоянию на 1 января 2024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        0,0 млн. рублей.</w:t>
      </w:r>
    </w:p>
    <w:p w:rsidR="00DD5D38" w:rsidRPr="00DD5D38" w:rsidRDefault="00DD5D38" w:rsidP="00DD5D38">
      <w:pPr>
        <w:spacing w:after="26" w:line="240" w:lineRule="auto"/>
        <w:ind w:left="71" w:righ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Расходы по обслуживанию муниципального долга з</w:t>
      </w:r>
      <w:r w:rsidR="003C2A27">
        <w:rPr>
          <w:rFonts w:ascii="Times New Roman" w:eastAsia="Times New Roman" w:hAnsi="Times New Roman" w:cs="Times New Roman"/>
          <w:sz w:val="28"/>
          <w:szCs w:val="28"/>
        </w:rPr>
        <w:t>а 2023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составили 0,0 млн. рублей.</w:t>
      </w:r>
    </w:p>
    <w:p w:rsidR="00DD5D38" w:rsidRPr="00DD5D38" w:rsidRDefault="009C1CBF" w:rsidP="00DD5D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состоянию на 1 октября 2024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муниципальный долг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сельсовет составил 0,0 млн. рублей.</w:t>
      </w:r>
    </w:p>
    <w:p w:rsidR="00DD5D38" w:rsidRPr="00DD5D38" w:rsidRDefault="00DD5D38" w:rsidP="00DD5D38">
      <w:pPr>
        <w:spacing w:after="26" w:line="240" w:lineRule="auto"/>
        <w:ind w:left="71"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Муниципальный долг по кредитам, полученным от кредитных организаций, и по муниципальным гарантия</w:t>
      </w:r>
      <w:r w:rsidR="009C1CBF">
        <w:rPr>
          <w:rFonts w:ascii="Times New Roman" w:eastAsia="Times New Roman" w:hAnsi="Times New Roman" w:cs="Times New Roman"/>
          <w:sz w:val="28"/>
          <w:szCs w:val="28"/>
        </w:rPr>
        <w:t>м по состоянию на 1 октября 2024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отсутствует.</w:t>
      </w:r>
    </w:p>
    <w:p w:rsidR="00DD5D38" w:rsidRPr="00DD5D38" w:rsidRDefault="00DD5D38" w:rsidP="00DD5D38">
      <w:pPr>
        <w:spacing w:after="376" w:line="240" w:lineRule="auto"/>
        <w:ind w:left="71" w:righ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Расходы по обслуживанию государс</w:t>
      </w:r>
      <w:r w:rsidR="009C1CBF">
        <w:rPr>
          <w:rFonts w:ascii="Times New Roman" w:eastAsia="Times New Roman" w:hAnsi="Times New Roman" w:cs="Times New Roman"/>
          <w:sz w:val="28"/>
          <w:szCs w:val="28"/>
        </w:rPr>
        <w:t>твенного долга за 9 месяцев 2024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составили 0,0 млн. рублей.</w:t>
      </w: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ab/>
        <w:t xml:space="preserve">Цели, принципы и задачи 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сельсовет  </w:t>
      </w: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D5D38" w:rsidRPr="00DD5D38" w:rsidRDefault="00DD5D38" w:rsidP="00DD5D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Долговая политика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является частью муниципальной политики в сфере бюджетной деятельности в муниципальном образовании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 и определяет основные цели, задачи и направления деятельности администрации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 по управлению муниципальным долгом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1CBF">
        <w:rPr>
          <w:rFonts w:ascii="Times New Roman" w:eastAsia="Times New Roman" w:hAnsi="Times New Roman" w:cs="Times New Roman"/>
          <w:sz w:val="28"/>
          <w:szCs w:val="28"/>
        </w:rPr>
        <w:t>сельсовет  на 2025 год и плановый период 2026 и 2027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годов (далее – муниципальная долговая политика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Мичуринский сельсовет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DD5D38" w:rsidRPr="00DD5D38" w:rsidRDefault="00DD5D38" w:rsidP="00DD5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долговая политика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Мичуринский сельсовет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является важнейшим компонентом системы управления финансами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сельсовет. Как часть бюджетной политики представляет собой комплекс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мероприятий по привлечению заимствований для обеспечения финансовыми ресурсами бюджетных обязательств, их обслуживанию и управлению.</w:t>
      </w:r>
    </w:p>
    <w:p w:rsidR="00DD5D38" w:rsidRPr="00DD5D38" w:rsidRDefault="00DD5D38" w:rsidP="00DD5D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Основными целями 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сельсовет являются: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обеспечение исполнения расходных обязательств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недопущение рисков возникновения кризисных ситуаций при исполнении местного бюджета;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поддержание муниципального долга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в объеме, обеспечивающем возможность гарантированного выполнения долговых обязательств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сохранение финансовой устойчивости и сбалансированности местного бюджета.</w:t>
      </w:r>
    </w:p>
    <w:p w:rsidR="00DD5D38" w:rsidRPr="00DD5D38" w:rsidRDefault="00DD5D38" w:rsidP="00DD5D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долговая политика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1CBF">
        <w:rPr>
          <w:rFonts w:ascii="Times New Roman" w:eastAsia="Times New Roman" w:hAnsi="Times New Roman" w:cs="Times New Roman"/>
          <w:sz w:val="28"/>
          <w:szCs w:val="28"/>
        </w:rPr>
        <w:t>сельсовет на 2025 год и плановый период 2026 и 2027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годов будет основываться на следующих принципах: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безусловное выполнение долговых обязательств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доступности информации о муниципальном долге.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В процессе управления муниципальным долгом будут решаться следующие задачи: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своевременное и полное исполнение долговых обязательств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сокращение рисков, связанных с осуществлением муниципальных заимствований;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совершенствование учета и отчетности по обслуживанию муниципального долга и обеспечение раскрытия информации о муниципальном долге;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привлечение муниципальных заимствований в объемах, дополняющих доходы местного бюджета до размеров, необходимых и достаточных для обеспечения исполнения принятых расходных обязательств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 минимизация расходов на обслуживание муниципального долга.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ab/>
        <w:t xml:space="preserve">Риски при реализации 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</w:t>
      </w: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D5D38" w:rsidRPr="00DD5D38" w:rsidRDefault="00DD5D38" w:rsidP="00DD5D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Основными рисками при реализации 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 являются: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риск снижения поступления доходов в местной бюджет, влекущего увеличение потребности в осуществлении муниципальных заимствований и соответственно увеличение размера муниципального долга;</w:t>
      </w:r>
      <w:proofErr w:type="gramEnd"/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риск роста процентной ставки, следствием которого является вероятность неблагоприятного для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lastRenderedPageBreak/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 изменения стоимости заимствований в зависимости от времени и объема потребности в заемных ресурсах;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риск рефинансирования, то есть вероятность невозможности провести рефинансирование накопленных долговых обязательств по приемлемым процентным ставкам (текущим либо более низким) или невозможность </w:t>
      </w:r>
      <w:r w:rsidR="009C1CBF">
        <w:rPr>
          <w:rFonts w:ascii="Times New Roman" w:eastAsia="Times New Roman" w:hAnsi="Times New Roman" w:cs="Times New Roman"/>
          <w:sz w:val="28"/>
          <w:szCs w:val="28"/>
        </w:rPr>
        <w:t xml:space="preserve">         ре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финансировать текущие обязательства вовсе;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риск снижения ликвидности рынка.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С целью снижения вышеуказанных рисков реализация 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осуществляется на основе прогнозов поступления доходов, финансирования расходов и привлечения муниципальных заимствований, анализа исполнения бюджета предыдущих лет с соблюдением следующих требований: 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при планировании муниципальных заимствований должны учитываться экономические возможности по привлечению ресурсов, текущая и ожидаемая конъюнктура на рынках заимствований;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заимствования должны носить планомерный характер, при этом объемы заимствований должны распределяться в течение года таким образом, чтобы снизить риск ухудшения условий заимствований;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при исполнении местного бюджета необходимо осуществлять управление ликвидностью счета бюджета для сглаживания пиков платежей по финансированию дефицита бюджета и погашению муниципального долга.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Основные мероприятия 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</w:t>
      </w:r>
    </w:p>
    <w:p w:rsidR="00DD5D38" w:rsidRPr="00DD5D38" w:rsidRDefault="00DD5D38" w:rsidP="00DD5D3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Основными факторами, определяющими характер и направление, муниципальной 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являются: </w:t>
      </w:r>
    </w:p>
    <w:p w:rsidR="00DD5D38" w:rsidRPr="00DD5D38" w:rsidRDefault="00DD5D38" w:rsidP="00DD5D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реализация Указов Президента Российской Федерации от 7 мая 2018 года № 204 «О национальных целях и стратегических задачах развития Российской Федерации на период до 2024 года», от 21 июля 2020 года № 474 «О национальных целях развития Российской Федерации на период до 2030 года», посланий Президента Российской Федерации к Федеральному Собранию Российской Федерации;</w:t>
      </w:r>
      <w:proofErr w:type="gramEnd"/>
    </w:p>
    <w:p w:rsidR="00DD5D38" w:rsidRPr="00DD5D38" w:rsidRDefault="00DD5D38" w:rsidP="00DD5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проводимая Центральным банком Российской Федерации денежно-кредитная политика, принимаемые решения по уровню ключевой ставки.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Основными инструментами реализации 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 являются: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  привлечение временно свободных остатков средств на счетах бюджетных учреждений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и автономных учреждений </w:t>
      </w:r>
      <w:proofErr w:type="spellStart"/>
      <w:r w:rsidRPr="00DD5D38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района для покрытия кассовых разрывов в целях сокращения сроков использования кредитов, полученных от кредитных организаций;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привлечение кредитов от кредитных организаций в рамках возобновляемых кредитных линий с возможностью досрочного погашения кредитов;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обеспечение регулярного раскрытия актуальной информации о проводимой долговой политике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сельсовет, а также об объеме и составе накопленных долговых обязательств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сельсовет, о сроках их погашения и процентных ставках.</w:t>
      </w:r>
    </w:p>
    <w:p w:rsidR="00DD5D38" w:rsidRPr="00DD5D38" w:rsidRDefault="00DD5D38" w:rsidP="00DD5D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Основными мероприятиями 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 являются:</w:t>
      </w:r>
    </w:p>
    <w:p w:rsidR="00DD5D38" w:rsidRPr="00DD5D38" w:rsidRDefault="00DD5D38" w:rsidP="00DD5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реализация положений Федерального закона от 28 июня 2021 года       № 228-ФЗ «О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Федерации» в части привлечения из областного бюджета бюджетных кредитов на финансовое обеспечение реализации инфраструктурных проектов;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 равномерное распределение выплат по погашению муниципального долга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осуществление среднесрочных (от 1 года до 5 лет) и долгосрочных (более 5 лет) муниципальных заимствований. Привлечение краткосрочных заимствований (менее 1 года) возможно только для поддержания текущей ликвидности местного бюджета;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осуществление регулярного мониторинга рынка кредитных ресурсов для оптимизации структуры муниципального долга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сельсовет с целью </w:t>
      </w:r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сокращения стоимости обслуживания долговых обязательств муниципального образования</w:t>
      </w:r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 и при наличии благоприятной рыночной конъюнктуры проведение работы по замещению ранее привлеченных кредитов на кредиты под более низкие процентные ставки;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привлечение в местный бюджет кредитов от кредитных организаций исключительно по ставкам не более чем уровень ключевой ставки, </w:t>
      </w:r>
      <w:proofErr w:type="spellStart"/>
      <w:proofErr w:type="gramStart"/>
      <w:r w:rsidRPr="00DD5D38">
        <w:rPr>
          <w:rFonts w:ascii="Times New Roman" w:eastAsia="Times New Roman" w:hAnsi="Times New Roman" w:cs="Times New Roman"/>
          <w:sz w:val="28"/>
          <w:szCs w:val="28"/>
        </w:rPr>
        <w:t>установ-ленный</w:t>
      </w:r>
      <w:proofErr w:type="spellEnd"/>
      <w:proofErr w:type="gramEnd"/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Центральным банком Российской Федерации, увеличенный на 1,0 процента годовых;</w:t>
      </w:r>
    </w:p>
    <w:p w:rsidR="00DD5D38" w:rsidRPr="00DD5D38" w:rsidRDefault="00DD5D38" w:rsidP="00DD5D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включение в состав источников финансирования дефицита местного бюджета и программу заимствований бюджетных кредитов из областного бюджета осуществляется после принятия решений о предоставлении таких кредитов (за исключением бюджетных кредитов на пополнение остатков средств на счетах бюджетов муниципальных образований);</w:t>
      </w:r>
    </w:p>
    <w:p w:rsidR="00DD5D38" w:rsidRPr="00DD5D38" w:rsidRDefault="00DD5D38" w:rsidP="00DD5D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отказ от планирования предоставления муниципальных гарантий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сельсовет;</w:t>
      </w:r>
    </w:p>
    <w:p w:rsidR="00DD5D38" w:rsidRPr="00DD5D38" w:rsidRDefault="009C1CBF" w:rsidP="00DD5D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обеспечение в 2025-2027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годах годового объема платежей по погашению и обслуживанию муниципального долга, возникшего по состоянию на 1 января отчетного финансового года, без учета платежей, </w:t>
      </w:r>
      <w:r w:rsidR="00DD5D38"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направляемых на досрочное погашение долговых обязательств со сроками погашения после 1 января года, следующего за очередным финансовым годом, 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на уровне не 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lastRenderedPageBreak/>
        <w:t>более 13,0 процента от общего объема налоговых и неналоговых доходов местного бюджета и дотаций</w:t>
      </w:r>
      <w:proofErr w:type="gramEnd"/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5D38" w:rsidRPr="00DD5D38">
        <w:rPr>
          <w:rFonts w:ascii="Times New Roman" w:eastAsia="Times New Roman" w:hAnsi="Times New Roman" w:cs="Times New Roman"/>
          <w:color w:val="000000"/>
          <w:sz w:val="28"/>
          <w:szCs w:val="28"/>
        </w:rPr>
        <w:t>из бюджетов бюджетной системы Российской Федерации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за соответствующий финансовый год;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поддержание минимально возможной стоимости обслуживания долговых обязательств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 с учетом ситуации на финансовом рынке;</w:t>
      </w:r>
    </w:p>
    <w:p w:rsidR="00DD5D38" w:rsidRPr="00DD5D38" w:rsidRDefault="009C1CBF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обеспечение в 2025-2027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 xml:space="preserve"> годах годового объема расходов местного бюджета на обслуживание муниципального долга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5D38" w:rsidRPr="00DD5D38">
        <w:rPr>
          <w:rFonts w:ascii="Times New Roman" w:eastAsia="Times New Roman" w:hAnsi="Times New Roman" w:cs="Times New Roman"/>
          <w:sz w:val="28"/>
          <w:szCs w:val="28"/>
        </w:rPr>
        <w:t>сельсовет на уровне не более 5,0 процента объема расходов местного бюджета за соответствующий финансовый год, за исключением объема расходов, осуществляемых за счет субвенций, поступающих из областного бюджета;</w:t>
      </w:r>
    </w:p>
    <w:p w:rsidR="00DD5D38" w:rsidRPr="00DD5D38" w:rsidRDefault="00DD5D38" w:rsidP="00DD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 xml:space="preserve">      обеспечение прозрачности долговой политики муниципального образования </w:t>
      </w:r>
      <w:r w:rsidR="00987369">
        <w:rPr>
          <w:rFonts w:ascii="Times New Roman" w:eastAsia="Times New Roman" w:hAnsi="Times New Roman" w:cs="Times New Roman"/>
          <w:sz w:val="28"/>
          <w:szCs w:val="28"/>
        </w:rPr>
        <w:t>Мичуринский</w:t>
      </w:r>
      <w:r w:rsidR="00987369" w:rsidRPr="00DD5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D38">
        <w:rPr>
          <w:rFonts w:ascii="Times New Roman" w:eastAsia="Times New Roman" w:hAnsi="Times New Roman" w:cs="Times New Roman"/>
          <w:sz w:val="28"/>
          <w:szCs w:val="28"/>
        </w:rPr>
        <w:t>сельсовет.</w:t>
      </w: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D38" w:rsidRPr="00DD5D38" w:rsidRDefault="00DD5D38" w:rsidP="00DD5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D38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DD5D38" w:rsidRPr="00DD5D38" w:rsidRDefault="00DD5D38" w:rsidP="00DD5D38">
      <w:pPr>
        <w:tabs>
          <w:tab w:val="left" w:pos="7065"/>
        </w:tabs>
      </w:pPr>
    </w:p>
    <w:sectPr w:rsidR="00DD5D38" w:rsidRPr="00DD5D38" w:rsidSect="00742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75E7"/>
    <w:multiLevelType w:val="hybridMultilevel"/>
    <w:tmpl w:val="E14A718A"/>
    <w:lvl w:ilvl="0" w:tplc="4008E446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2381912">
      <w:start w:val="1"/>
      <w:numFmt w:val="lowerLetter"/>
      <w:lvlText w:val="%2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6C85040">
      <w:start w:val="1"/>
      <w:numFmt w:val="lowerRoman"/>
      <w:lvlText w:val="%3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B9A5D60">
      <w:start w:val="1"/>
      <w:numFmt w:val="decimal"/>
      <w:lvlText w:val="%4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928A218">
      <w:start w:val="1"/>
      <w:numFmt w:val="lowerLetter"/>
      <w:lvlText w:val="%5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5A2147A">
      <w:start w:val="1"/>
      <w:numFmt w:val="lowerRoman"/>
      <w:lvlText w:val="%6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4F86CE4">
      <w:start w:val="1"/>
      <w:numFmt w:val="decimal"/>
      <w:lvlText w:val="%7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EDABD80">
      <w:start w:val="1"/>
      <w:numFmt w:val="lowerLetter"/>
      <w:lvlText w:val="%8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C602B00">
      <w:start w:val="1"/>
      <w:numFmt w:val="lowerRoman"/>
      <w:lvlText w:val="%9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FA42FAC"/>
    <w:multiLevelType w:val="hybridMultilevel"/>
    <w:tmpl w:val="049ADBF2"/>
    <w:lvl w:ilvl="0" w:tplc="57523F0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6C3C"/>
    <w:rsid w:val="00124C25"/>
    <w:rsid w:val="001C28B5"/>
    <w:rsid w:val="002778A3"/>
    <w:rsid w:val="002E40C3"/>
    <w:rsid w:val="002F7233"/>
    <w:rsid w:val="00346628"/>
    <w:rsid w:val="00383F05"/>
    <w:rsid w:val="003A6C3C"/>
    <w:rsid w:val="003C2A27"/>
    <w:rsid w:val="003D0394"/>
    <w:rsid w:val="004321CE"/>
    <w:rsid w:val="004D34E0"/>
    <w:rsid w:val="004D382B"/>
    <w:rsid w:val="0055304D"/>
    <w:rsid w:val="00597361"/>
    <w:rsid w:val="005A79D8"/>
    <w:rsid w:val="005C5E83"/>
    <w:rsid w:val="005D4F83"/>
    <w:rsid w:val="006E1CA2"/>
    <w:rsid w:val="0072284E"/>
    <w:rsid w:val="007421AB"/>
    <w:rsid w:val="007B5562"/>
    <w:rsid w:val="007D3C48"/>
    <w:rsid w:val="008262F5"/>
    <w:rsid w:val="00893D56"/>
    <w:rsid w:val="009364AC"/>
    <w:rsid w:val="00987369"/>
    <w:rsid w:val="009C1CBF"/>
    <w:rsid w:val="009D0C59"/>
    <w:rsid w:val="00A25B58"/>
    <w:rsid w:val="00A44BBE"/>
    <w:rsid w:val="00A466DA"/>
    <w:rsid w:val="00A54B87"/>
    <w:rsid w:val="00AE28FE"/>
    <w:rsid w:val="00B21709"/>
    <w:rsid w:val="00B22260"/>
    <w:rsid w:val="00BC3A16"/>
    <w:rsid w:val="00C72565"/>
    <w:rsid w:val="00CD7269"/>
    <w:rsid w:val="00D3622A"/>
    <w:rsid w:val="00D76F0F"/>
    <w:rsid w:val="00DD5D38"/>
    <w:rsid w:val="00FA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DD5D38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DD5D38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D5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D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2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5834</Words>
  <Characters>33260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2022-11-17T04:31:00Z</cp:lastPrinted>
  <dcterms:created xsi:type="dcterms:W3CDTF">2018-11-21T05:04:00Z</dcterms:created>
  <dcterms:modified xsi:type="dcterms:W3CDTF">2024-11-13T10:48:00Z</dcterms:modified>
</cp:coreProperties>
</file>